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16" w:rsidRPr="006E30C6" w:rsidRDefault="004A2DFC" w:rsidP="006E30C6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/>
        </w:rPr>
      </w:pPr>
      <w:r w:rsidRPr="006E30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MON_1140949749"/>
      <w:bookmarkEnd w:id="0"/>
      <w:r w:rsidRPr="006E30C6">
        <w:rPr>
          <w:rFonts w:ascii="Times New Roman" w:eastAsia="Calibri" w:hAnsi="Times New Roman" w:cs="Times New Roman"/>
          <w:sz w:val="24"/>
          <w:szCs w:val="24"/>
        </w:rPr>
        <w:object w:dxaOrig="8820" w:dyaOrig="19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1pt;height:75.8pt" o:ole="" fillcolor="window">
            <v:imagedata r:id="rId8" o:title=""/>
          </v:shape>
          <o:OLEObject Type="Embed" ProgID="Word.Picture.8" ShapeID="_x0000_i1025" DrawAspect="Content" ObjectID="_1666513384" r:id="rId9"/>
        </w:object>
      </w:r>
      <w:r w:rsidRPr="006E30C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/>
        </w:rPr>
        <w:t xml:space="preserve"> </w:t>
      </w:r>
    </w:p>
    <w:p w:rsidR="00715E61" w:rsidRPr="006E30C6" w:rsidRDefault="004676D3" w:rsidP="006E30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ab/>
      </w:r>
    </w:p>
    <w:p w:rsidR="00715E61" w:rsidRPr="006E30C6" w:rsidRDefault="00715E61" w:rsidP="006E30C6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6E30C6">
        <w:rPr>
          <w:rFonts w:ascii="Times New Roman" w:eastAsia="Calibri" w:hAnsi="Times New Roman" w:cs="Times New Roman"/>
          <w:i/>
          <w:sz w:val="24"/>
          <w:szCs w:val="24"/>
        </w:rPr>
        <w:t>Приложение №4</w:t>
      </w: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4676D3" w:rsidP="006E30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ИЗИСКВАНИЯ КЪМ КАНДИДАТИТЕ ЗА ПАРТНЬОРИ ПО ОП РЧР</w:t>
      </w:r>
    </w:p>
    <w:p w:rsidR="0020249E" w:rsidRPr="006E30C6" w:rsidRDefault="0020249E" w:rsidP="006E30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МЕТОДИКА ЗА ОЦЕНКА</w:t>
      </w:r>
    </w:p>
    <w:p w:rsidR="004676D3" w:rsidRPr="006E30C6" w:rsidRDefault="0020249E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4676D3" w:rsidRPr="006E30C6">
        <w:rPr>
          <w:rFonts w:ascii="Times New Roman" w:hAnsi="Times New Roman" w:cs="Times New Roman"/>
          <w:b/>
          <w:sz w:val="24"/>
          <w:szCs w:val="24"/>
        </w:rPr>
        <w:t>Общи изисквания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Лицата, представляващи кандидата не са осъждани с влязла в сила присъда.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налице конфликт на интереси във връзка с процедурата за предоставяне на безвъзмездна финансова помощ, който не може да бъде отстранен.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налице положение на конфликт на интереси съгласно чл. 107, параграф 1 буква „а” от Регламент (ЕС, ЕВРАТОМ) № 966/2012.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По отношение на кандидата за партньор са налице следните обстоятелства: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обявен е в несъстоятелност;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в производство по несъстоятелност;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в процедура по ликвидация;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сключил извънсъдебно споразумение с кредиторите си по смисъла на чл. 740 от Търговския закон;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преустановил дейността си;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се намира в подобно положение, произтичащо от сходна на горепосочените, съгласно законодателството на държавата, в която е установен;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лишен от правото да упражнява определена професия или дейност съгласно законодателството на държавата, в която е извършено деянието;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доказано, че е виновен за неизпълнение на договор за обществена поръчка, или на договор за концесия за строителство или за услуга, довело до предсрочното му прекратяване, изплащане на обезщетения или други подобни санкции, с изключение на случаите, когато неизпълнението засяга по-малко от 50 на сто от стойността или обема на договора;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</w:t>
      </w:r>
      <w:r w:rsidRPr="006E30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E30C6">
        <w:rPr>
          <w:rFonts w:ascii="Times New Roman" w:hAnsi="Times New Roman" w:cs="Times New Roman"/>
          <w:sz w:val="24"/>
          <w:szCs w:val="24"/>
        </w:rPr>
        <w:t xml:space="preserve">е допуснато разсрочване, отсрочване или обезпечение на задълженията или задължението е по акт, който не е влязъл в сила или размерът на неплатените дължими данъци или </w:t>
      </w:r>
      <w:proofErr w:type="spellStart"/>
      <w:r w:rsidRPr="006E30C6">
        <w:rPr>
          <w:rFonts w:ascii="Times New Roman" w:hAnsi="Times New Roman" w:cs="Times New Roman"/>
          <w:sz w:val="24"/>
          <w:szCs w:val="24"/>
        </w:rPr>
        <w:t>социалноосигурителни</w:t>
      </w:r>
      <w:proofErr w:type="spellEnd"/>
      <w:r w:rsidRPr="006E30C6">
        <w:rPr>
          <w:rFonts w:ascii="Times New Roman" w:hAnsi="Times New Roman" w:cs="Times New Roman"/>
          <w:sz w:val="24"/>
          <w:szCs w:val="24"/>
        </w:rPr>
        <w:t xml:space="preserve"> вноски е не повече от 1 на сто от сумата на годишния общ оборот за последната приключена финансова година;</w:t>
      </w:r>
    </w:p>
    <w:p w:rsidR="004676D3" w:rsidRPr="006E30C6" w:rsidRDefault="004676D3" w:rsidP="006E30C6">
      <w:pPr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не e изпадал в неизпълнение на разпореждане на Европейската комисия за възстановяване на предоставената им неправомерна и несъвместима държавна помощ.</w:t>
      </w:r>
    </w:p>
    <w:p w:rsidR="009D15FE" w:rsidRPr="006E30C6" w:rsidRDefault="009D15FE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D15FE" w:rsidRPr="006E30C6" w:rsidRDefault="009D15FE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D15FE" w:rsidRPr="006E30C6" w:rsidRDefault="009D15FE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D15FE" w:rsidRPr="006E30C6" w:rsidRDefault="009D15FE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D15FE" w:rsidRPr="006E30C6" w:rsidRDefault="009D15FE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30C6" w:rsidRDefault="006E30C6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0C6" w:rsidRDefault="006E30C6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0C6" w:rsidRDefault="006E30C6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0C6" w:rsidRDefault="006E30C6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Няма задължения въз основа на неизпълнение на договор за предоставяне на финансови средства по друга схема за финансиране по ОП „Развитие на човешките ресурси” 2007-2013, ОП „Развитие на човешките ресурси” 2014-2020 и програма ФАР към изпълнителна агенция МТСП.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Всеки кандидат следва да има поне 1 година опит в управление/изпълнение на проекти и/или опит в изпълнение на дейности, подобни на тези, в които ще участва в проектното предложение. В случай, че притежава опит в изпълнение на проекти, информацията следва да обхваща не повече от 3 проекта, изпълнени през последните 5 години.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Партньорите, които ще разходват средства по проекта, трябва да разполагат със стабилни и достатъчни източници на финансиране за поддържане на своята дейност през целия период на изпълнение на проекта, за който се отпускат безвъзмездните средства, и за участие в неговото финансиране.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В случай, че назначената от Кмета на Община Враца комисия установи, че са налице индикации за затруднено финансово положение на кандидата за партньор, комисията ще отхвърли заявлението му.</w:t>
      </w:r>
    </w:p>
    <w:p w:rsidR="004676D3" w:rsidRPr="006E30C6" w:rsidRDefault="003C3FF0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</w:t>
      </w:r>
      <w:r w:rsidR="0020249E" w:rsidRPr="006E30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76D3" w:rsidRPr="006E30C6">
        <w:rPr>
          <w:rFonts w:ascii="Times New Roman" w:hAnsi="Times New Roman" w:cs="Times New Roman"/>
          <w:b/>
          <w:sz w:val="24"/>
          <w:szCs w:val="24"/>
        </w:rPr>
        <w:t>Финансова стабилност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Оценката за финансова стабилност дава информация за качеството на финансовата структура на кандидата и предоставя увереност, че той ще бъде в състояние да изпълни проектните дейности за периода на действие на договора.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Оценката се основава на няколко коефициента: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- коефициент за финансова независимост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- коефициент за рентабилност.</w:t>
      </w:r>
    </w:p>
    <w:p w:rsidR="009F015D" w:rsidRPr="006E30C6" w:rsidRDefault="009F015D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76D3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Методика</w:t>
      </w:r>
      <w:r w:rsidR="009F015D" w:rsidRPr="006E30C6">
        <w:rPr>
          <w:rFonts w:ascii="Times New Roman" w:hAnsi="Times New Roman" w:cs="Times New Roman"/>
          <w:sz w:val="24"/>
          <w:szCs w:val="24"/>
        </w:rPr>
        <w:t>та</w:t>
      </w:r>
      <w:r w:rsidRPr="006E30C6">
        <w:rPr>
          <w:rFonts w:ascii="Times New Roman" w:hAnsi="Times New Roman" w:cs="Times New Roman"/>
          <w:sz w:val="24"/>
          <w:szCs w:val="24"/>
        </w:rPr>
        <w:t xml:space="preserve"> отчита специфичните характеристики на кандидатите и може да бъде използвана за организации с различни юридически форми от търговски дружества до организации с нестопанска цел.</w:t>
      </w:r>
    </w:p>
    <w:p w:rsidR="006E30C6" w:rsidRPr="006E30C6" w:rsidRDefault="006E30C6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5FE" w:rsidRPr="006E30C6" w:rsidRDefault="0020249E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 xml:space="preserve">ІV. </w:t>
      </w:r>
      <w:r w:rsidR="004676D3" w:rsidRPr="006E30C6">
        <w:rPr>
          <w:rFonts w:ascii="Times New Roman" w:hAnsi="Times New Roman" w:cs="Times New Roman"/>
          <w:b/>
          <w:sz w:val="24"/>
          <w:szCs w:val="24"/>
        </w:rPr>
        <w:t>Методика за оценка на финансовата стабилност на партньора:</w:t>
      </w: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E30C6">
        <w:rPr>
          <w:rFonts w:ascii="Times New Roman" w:hAnsi="Times New Roman" w:cs="Times New Roman"/>
          <w:sz w:val="24"/>
          <w:szCs w:val="24"/>
        </w:rPr>
        <w:t>Коефициентите, коит</w:t>
      </w:r>
      <w:r w:rsidR="009D15FE" w:rsidRPr="006E30C6">
        <w:rPr>
          <w:rFonts w:ascii="Times New Roman" w:hAnsi="Times New Roman" w:cs="Times New Roman"/>
          <w:sz w:val="24"/>
          <w:szCs w:val="24"/>
        </w:rPr>
        <w:t>о се използват за определяне на</w:t>
      </w:r>
      <w:r w:rsidR="009D15FE" w:rsidRPr="006E30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30C6">
        <w:rPr>
          <w:rFonts w:ascii="Times New Roman" w:hAnsi="Times New Roman" w:cs="Times New Roman"/>
          <w:sz w:val="24"/>
          <w:szCs w:val="24"/>
        </w:rPr>
        <w:t>нивото на увереност</w:t>
      </w:r>
      <w:r w:rsidR="009F015D" w:rsidRPr="006E30C6">
        <w:rPr>
          <w:rFonts w:ascii="Times New Roman" w:hAnsi="Times New Roman" w:cs="Times New Roman"/>
          <w:sz w:val="24"/>
          <w:szCs w:val="24"/>
        </w:rPr>
        <w:t>,</w:t>
      </w:r>
      <w:r w:rsidRPr="006E30C6">
        <w:rPr>
          <w:rFonts w:ascii="Times New Roman" w:hAnsi="Times New Roman" w:cs="Times New Roman"/>
          <w:sz w:val="24"/>
          <w:szCs w:val="24"/>
        </w:rPr>
        <w:t xml:space="preserve"> произтичаща от процеса на оценка са следните:</w:t>
      </w: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1. Оценка на финансовата стабилност</w:t>
      </w: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Тази оценка е основана на следните индикатори:</w:t>
      </w:r>
    </w:p>
    <w:p w:rsidR="004676D3" w:rsidRPr="006E30C6" w:rsidRDefault="00D13716" w:rsidP="006E30C6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 xml:space="preserve"> </w:t>
      </w:r>
      <w:r w:rsidR="004676D3" w:rsidRPr="006E30C6">
        <w:rPr>
          <w:rFonts w:ascii="Times New Roman" w:hAnsi="Times New Roman" w:cs="Times New Roman"/>
          <w:sz w:val="24"/>
          <w:szCs w:val="24"/>
        </w:rPr>
        <w:t>Собствен капитал (код 05000)</w:t>
      </w: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2A623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1.</w:t>
      </w:r>
      <w:proofErr w:type="spellStart"/>
      <w:r w:rsidRPr="006E30C6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="00D13716" w:rsidRPr="006E30C6">
        <w:rPr>
          <w:rFonts w:ascii="Times New Roman" w:hAnsi="Times New Roman" w:cs="Times New Roman"/>
          <w:sz w:val="24"/>
          <w:szCs w:val="24"/>
        </w:rPr>
        <w:t xml:space="preserve">.Финансова независимост = </w:t>
      </w:r>
      <w:r w:rsidR="004676D3" w:rsidRPr="006E30C6">
        <w:rPr>
          <w:rFonts w:ascii="Times New Roman" w:hAnsi="Times New Roman" w:cs="Times New Roman"/>
          <w:sz w:val="24"/>
          <w:szCs w:val="24"/>
        </w:rPr>
        <w:t>----------------------------------------</w:t>
      </w:r>
    </w:p>
    <w:p w:rsidR="004676D3" w:rsidRPr="006E30C6" w:rsidRDefault="00D13716" w:rsidP="006E30C6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 xml:space="preserve"> </w:t>
      </w:r>
      <w:r w:rsidR="004676D3" w:rsidRPr="006E30C6">
        <w:rPr>
          <w:rFonts w:ascii="Times New Roman" w:hAnsi="Times New Roman" w:cs="Times New Roman"/>
          <w:sz w:val="24"/>
          <w:szCs w:val="24"/>
        </w:rPr>
        <w:t>Сума на актива (код 04500)</w:t>
      </w:r>
    </w:p>
    <w:p w:rsidR="009F015D" w:rsidRPr="006E30C6" w:rsidRDefault="009F015D" w:rsidP="006E30C6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4676D3" w:rsidP="006E30C6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Печалба или загуба (05600)</w:t>
      </w:r>
    </w:p>
    <w:p w:rsidR="004676D3" w:rsidRPr="006E30C6" w:rsidRDefault="002A623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1.2</w:t>
      </w:r>
      <w:r w:rsidR="009F015D" w:rsidRPr="006E30C6">
        <w:rPr>
          <w:rFonts w:ascii="Times New Roman" w:hAnsi="Times New Roman" w:cs="Times New Roman"/>
          <w:sz w:val="24"/>
          <w:szCs w:val="24"/>
        </w:rPr>
        <w:t xml:space="preserve">. Рентабилност = </w:t>
      </w:r>
      <w:r w:rsidR="009F015D" w:rsidRPr="006E30C6">
        <w:rPr>
          <w:rFonts w:ascii="Times New Roman" w:hAnsi="Times New Roman" w:cs="Times New Roman"/>
          <w:sz w:val="24"/>
          <w:szCs w:val="24"/>
        </w:rPr>
        <w:tab/>
      </w:r>
      <w:r w:rsidR="004676D3" w:rsidRPr="006E30C6">
        <w:rPr>
          <w:rFonts w:ascii="Times New Roman" w:hAnsi="Times New Roman" w:cs="Times New Roman"/>
          <w:sz w:val="24"/>
          <w:szCs w:val="24"/>
        </w:rPr>
        <w:t>---------------------------------------</w:t>
      </w:r>
    </w:p>
    <w:p w:rsidR="006E30C6" w:rsidRDefault="006E30C6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4676D3" w:rsidP="006E30C6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Сума на актива (04500)</w:t>
      </w:r>
    </w:p>
    <w:p w:rsidR="002A6233" w:rsidRPr="006E30C6" w:rsidRDefault="002A623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FF0" w:rsidRDefault="003C3FF0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E30C6">
        <w:rPr>
          <w:rFonts w:ascii="Times New Roman" w:hAnsi="Times New Roman" w:cs="Times New Roman"/>
          <w:sz w:val="24"/>
          <w:szCs w:val="24"/>
        </w:rPr>
        <w:t>Посочените кодове са данни от счетоводния баланс за 2019 г.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Коефициента на финансова независимост отразява размера на собствения капитал като отношение към общата сума на активите. Това показва до каква степен организациите зависят от финансиране от трета страна. Колкото по-близо с</w:t>
      </w:r>
      <w:r w:rsidR="009F015D" w:rsidRPr="006E30C6">
        <w:rPr>
          <w:rFonts w:ascii="Times New Roman" w:hAnsi="Times New Roman" w:cs="Times New Roman"/>
          <w:sz w:val="24"/>
          <w:szCs w:val="24"/>
        </w:rPr>
        <w:t>ъотношението е до 1, толкова по-</w:t>
      </w:r>
      <w:r w:rsidRPr="006E30C6">
        <w:rPr>
          <w:rFonts w:ascii="Times New Roman" w:hAnsi="Times New Roman" w:cs="Times New Roman"/>
          <w:sz w:val="24"/>
          <w:szCs w:val="24"/>
        </w:rPr>
        <w:t>финансово независима е организацията и има по-голяма автономия за управление. Колкото е по-близо съотношението до 0, толкова по - зависима е организацията от финансиране от трета страна. Колкото по - нисък е коефициентът на финансова независимост, толкова по - трудно ще бъде да получат кредити и външно финансиране.</w:t>
      </w:r>
    </w:p>
    <w:p w:rsidR="004676D3" w:rsidRPr="006E30C6" w:rsidRDefault="004676D3" w:rsidP="006E3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Коефициента на рентабилност измерва ефективността с която организациите използват своите активи.</w:t>
      </w: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2. Оценка</w:t>
      </w: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За да бъде определено нивото (лошо или добро) на финансовата стабилност на партньора/</w:t>
      </w:r>
      <w:proofErr w:type="spellStart"/>
      <w:r w:rsidRPr="006E30C6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6E30C6">
        <w:rPr>
          <w:rFonts w:ascii="Times New Roman" w:hAnsi="Times New Roman" w:cs="Times New Roman"/>
          <w:sz w:val="24"/>
          <w:szCs w:val="24"/>
        </w:rPr>
        <w:t xml:space="preserve"> се вземат предвид само данните от 2019 г. и се използва следната таблица:</w:t>
      </w:r>
    </w:p>
    <w:tbl>
      <w:tblPr>
        <w:tblStyle w:val="a3"/>
        <w:tblW w:w="8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3783"/>
        <w:gridCol w:w="2160"/>
      </w:tblGrid>
      <w:tr w:rsidR="004676D3" w:rsidRPr="006E30C6" w:rsidTr="0020249E">
        <w:tc>
          <w:tcPr>
            <w:tcW w:w="2977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Индикатори</w:t>
            </w:r>
            <w:proofErr w:type="spellEnd"/>
          </w:p>
        </w:tc>
        <w:tc>
          <w:tcPr>
            <w:tcW w:w="3783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Резултат</w:t>
            </w:r>
          </w:p>
        </w:tc>
        <w:tc>
          <w:tcPr>
            <w:tcW w:w="2160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spellEnd"/>
          </w:p>
        </w:tc>
      </w:tr>
      <w:tr w:rsidR="004676D3" w:rsidRPr="006E30C6" w:rsidTr="002A6233">
        <w:trPr>
          <w:trHeight w:val="1509"/>
        </w:trPr>
        <w:tc>
          <w:tcPr>
            <w:tcW w:w="2977" w:type="dxa"/>
          </w:tcPr>
          <w:p w:rsidR="004676D3" w:rsidRPr="006E30C6" w:rsidRDefault="0020249E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І.</w:t>
            </w:r>
            <w:proofErr w:type="spellStart"/>
            <w:r w:rsidR="004676D3" w:rsidRPr="006E30C6">
              <w:rPr>
                <w:rFonts w:ascii="Times New Roman" w:hAnsi="Times New Roman" w:cs="Times New Roman"/>
                <w:sz w:val="24"/>
                <w:szCs w:val="24"/>
              </w:rPr>
              <w:t>Финансова</w:t>
            </w:r>
            <w:proofErr w:type="spellEnd"/>
            <w:r w:rsidR="004676D3"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76D3" w:rsidRPr="006E30C6">
              <w:rPr>
                <w:rFonts w:ascii="Times New Roman" w:hAnsi="Times New Roman" w:cs="Times New Roman"/>
                <w:sz w:val="24"/>
                <w:szCs w:val="24"/>
              </w:rPr>
              <w:t>независимост</w:t>
            </w:r>
            <w:proofErr w:type="spellEnd"/>
            <w:r w:rsidR="004676D3"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(ФН)</w:t>
            </w:r>
          </w:p>
        </w:tc>
        <w:tc>
          <w:tcPr>
            <w:tcW w:w="3783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ФН ≥ 0,5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0,4 ≤ ФН &lt; 0,5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0,3 ≤ ФН &lt; 0,4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0 ≤ ФН &lt; 0,3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ФН е </w:t>
            </w: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отрицателно</w:t>
            </w:r>
            <w:proofErr w:type="spellEnd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</w:p>
        </w:tc>
        <w:tc>
          <w:tcPr>
            <w:tcW w:w="2160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76D3" w:rsidRPr="006E30C6" w:rsidTr="0020249E">
        <w:tc>
          <w:tcPr>
            <w:tcW w:w="2977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Рентабилност</w:t>
            </w:r>
            <w:proofErr w:type="spellEnd"/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Рентабилност</w:t>
            </w:r>
            <w:proofErr w:type="spellEnd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≥ 2%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- 2% ≤ </w:t>
            </w: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Рентабилност</w:t>
            </w:r>
            <w:proofErr w:type="spellEnd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&lt; 2%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Рентабилност</w:t>
            </w:r>
            <w:proofErr w:type="spellEnd"/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&lt; - 2%</w:t>
            </w:r>
          </w:p>
        </w:tc>
        <w:tc>
          <w:tcPr>
            <w:tcW w:w="2160" w:type="dxa"/>
          </w:tcPr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676D3" w:rsidRPr="006E30C6" w:rsidRDefault="004676D3" w:rsidP="006E30C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6D3" w:rsidRPr="006E30C6" w:rsidRDefault="004676D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Сумата на точките за всеки индикатор ще ни даде обща оценка за финансовата стабилност на партньора.</w:t>
      </w:r>
    </w:p>
    <w:p w:rsidR="009D15FE" w:rsidRPr="006E30C6" w:rsidRDefault="009D15FE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2DFC" w:rsidRPr="006E30C6" w:rsidRDefault="002A6233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 xml:space="preserve">3. На основата на общата оценка партньорите попадат в две основни категории: </w:t>
      </w:r>
    </w:p>
    <w:p w:rsidR="00D13716" w:rsidRDefault="002A6233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3.1.  Добра финансова стабилност</w:t>
      </w:r>
    </w:p>
    <w:p w:rsidR="006E30C6" w:rsidRPr="006E30C6" w:rsidRDefault="006E30C6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6233" w:rsidRDefault="002A6233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0C6">
        <w:rPr>
          <w:rFonts w:ascii="Times New Roman" w:hAnsi="Times New Roman" w:cs="Times New Roman"/>
          <w:sz w:val="24"/>
          <w:szCs w:val="24"/>
        </w:rPr>
        <w:t>Партньорът демонстрира стабилен финансов профил. Изпълнени са условията за отпускане на безвъзмездна финансова помощ при нисък риск за средствата предоставяни от ЕС.</w:t>
      </w:r>
    </w:p>
    <w:p w:rsidR="006E30C6" w:rsidRPr="006E30C6" w:rsidRDefault="006E30C6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233" w:rsidRDefault="002A6233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3.2. Лоша финансова стабилност</w:t>
      </w:r>
    </w:p>
    <w:p w:rsidR="006E30C6" w:rsidRPr="006E30C6" w:rsidRDefault="006E30C6" w:rsidP="006E3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76D3" w:rsidRDefault="004676D3" w:rsidP="006E30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КРИТЕРИИ ЗА ОЦЕНКА. МЕТОДИКА ЗА ОЦЕНКА</w:t>
      </w:r>
    </w:p>
    <w:p w:rsidR="006E30C6" w:rsidRPr="006E30C6" w:rsidRDefault="006E30C6" w:rsidP="006E30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9"/>
        <w:gridCol w:w="2145"/>
      </w:tblGrid>
      <w:tr w:rsidR="004676D3" w:rsidRPr="006E30C6" w:rsidTr="006E30C6">
        <w:trPr>
          <w:trHeight w:val="532"/>
          <w:jc w:val="center"/>
        </w:trPr>
        <w:tc>
          <w:tcPr>
            <w:tcW w:w="7229" w:type="dxa"/>
            <w:shd w:val="clear" w:color="auto" w:fill="DEEAF6"/>
            <w:vAlign w:val="center"/>
          </w:tcPr>
          <w:p w:rsidR="004676D3" w:rsidRPr="006E30C6" w:rsidRDefault="004676D3" w:rsidP="006E3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vertAlign w:val="subscript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</w:t>
            </w:r>
          </w:p>
          <w:p w:rsidR="004676D3" w:rsidRPr="006E30C6" w:rsidRDefault="004676D3" w:rsidP="006E3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DEEAF6"/>
          </w:tcPr>
          <w:p w:rsidR="004676D3" w:rsidRPr="006E30C6" w:rsidRDefault="004676D3" w:rsidP="006E3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Максимален брой точки</w:t>
            </w:r>
            <w:r w:rsidR="009D15FE"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60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1. Кандидатът декларира готовност да наеме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от 1 до 4 лица включително;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от 5 до 9 лица включително;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10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от 10 до 14 лица включително;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15 и повече лица.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20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2. През първите шест месеца на 2020 г. спрямо 2019 г. кандидатът отчита: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намаление на </w:t>
            </w:r>
            <w:proofErr w:type="spellStart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средносписъчния</w:t>
            </w:r>
            <w:proofErr w:type="spellEnd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състав;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запазване на </w:t>
            </w:r>
            <w:proofErr w:type="spellStart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средносписъчния</w:t>
            </w:r>
            <w:proofErr w:type="spellEnd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състав;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увеличение на </w:t>
            </w:r>
            <w:proofErr w:type="spellStart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средносписъчния</w:t>
            </w:r>
            <w:proofErr w:type="spellEnd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състав с по-малко от 5 %;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10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увеличение на </w:t>
            </w:r>
            <w:proofErr w:type="spellStart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>средносписъчния</w:t>
            </w:r>
            <w:proofErr w:type="spellEnd"/>
            <w:r w:rsidRPr="006E3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състав с 5 % или повече.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20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3. Кандидатът има опит в наемането на </w:t>
            </w:r>
            <w:r w:rsidRPr="006E30C6">
              <w:rPr>
                <w:rFonts w:ascii="Times New Roman" w:hAnsi="Times New Roman" w:cs="Times New Roman"/>
                <w:b/>
                <w:sz w:val="24"/>
                <w:szCs w:val="24"/>
              </w:rPr>
              <w:t>безработни и неактивни</w:t>
            </w:r>
            <w:r w:rsidRPr="006E3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0C6">
              <w:rPr>
                <w:rFonts w:ascii="Times New Roman" w:hAnsi="Times New Roman" w:cs="Times New Roman"/>
                <w:b/>
                <w:sz w:val="24"/>
                <w:szCs w:val="24"/>
              </w:rPr>
              <w:t>лица и хора в неравностойно положение, попадащи в обхвата на целевата група по настоящата процедура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10</w:t>
            </w:r>
          </w:p>
        </w:tc>
      </w:tr>
      <w:tr w:rsidR="004676D3" w:rsidRPr="006E30C6" w:rsidTr="004E651D">
        <w:trPr>
          <w:trHeight w:val="185"/>
          <w:jc w:val="center"/>
        </w:trPr>
        <w:tc>
          <w:tcPr>
            <w:tcW w:w="7229" w:type="dxa"/>
            <w:vAlign w:val="center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4. Кандидатът има опит в повишаване на квалификацията на заетия персонал</w:t>
            </w:r>
          </w:p>
        </w:tc>
        <w:tc>
          <w:tcPr>
            <w:tcW w:w="2145" w:type="dxa"/>
          </w:tcPr>
          <w:p w:rsidR="004676D3" w:rsidRPr="006E30C6" w:rsidRDefault="004676D3" w:rsidP="006E30C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E3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10</w:t>
            </w:r>
          </w:p>
        </w:tc>
      </w:tr>
    </w:tbl>
    <w:p w:rsidR="009D15FE" w:rsidRDefault="009D15FE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0C6" w:rsidRPr="006E30C6" w:rsidRDefault="006E30C6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60"/>
        <w:gridCol w:w="3261"/>
        <w:gridCol w:w="3261"/>
      </w:tblGrid>
      <w:tr w:rsidR="009D15FE" w:rsidRPr="006E30C6" w:rsidTr="009D15FE">
        <w:tc>
          <w:tcPr>
            <w:tcW w:w="3260" w:type="dxa"/>
          </w:tcPr>
          <w:p w:rsidR="009D15FE" w:rsidRPr="006E30C6" w:rsidRDefault="009D15FE" w:rsidP="006E3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Оценка на финансовата стабилност</w:t>
            </w:r>
          </w:p>
        </w:tc>
        <w:tc>
          <w:tcPr>
            <w:tcW w:w="3261" w:type="dxa"/>
          </w:tcPr>
          <w:p w:rsidR="009D15FE" w:rsidRPr="006E30C6" w:rsidRDefault="009D15FE" w:rsidP="006E3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Лоша</w:t>
            </w:r>
          </w:p>
        </w:tc>
        <w:tc>
          <w:tcPr>
            <w:tcW w:w="3261" w:type="dxa"/>
          </w:tcPr>
          <w:p w:rsidR="009D15FE" w:rsidRPr="006E30C6" w:rsidRDefault="009D15FE" w:rsidP="006E3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Добра</w:t>
            </w:r>
          </w:p>
        </w:tc>
      </w:tr>
      <w:tr w:rsidR="009D15FE" w:rsidRPr="006E30C6" w:rsidTr="009D15FE">
        <w:tc>
          <w:tcPr>
            <w:tcW w:w="3260" w:type="dxa"/>
          </w:tcPr>
          <w:p w:rsidR="009D15FE" w:rsidRPr="006E30C6" w:rsidRDefault="009D15FE" w:rsidP="006E3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 брой точки</w:t>
            </w:r>
          </w:p>
        </w:tc>
        <w:tc>
          <w:tcPr>
            <w:tcW w:w="3261" w:type="dxa"/>
          </w:tcPr>
          <w:p w:rsidR="009D15FE" w:rsidRPr="006E30C6" w:rsidRDefault="009D15FE" w:rsidP="006E3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и по-малко</w:t>
            </w:r>
          </w:p>
        </w:tc>
        <w:tc>
          <w:tcPr>
            <w:tcW w:w="3261" w:type="dxa"/>
          </w:tcPr>
          <w:p w:rsidR="009D15FE" w:rsidRPr="006E30C6" w:rsidRDefault="009D15FE" w:rsidP="006E3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3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 и повече</w:t>
            </w:r>
          </w:p>
        </w:tc>
      </w:tr>
    </w:tbl>
    <w:p w:rsidR="009D15FE" w:rsidRPr="006E30C6" w:rsidRDefault="009D15FE" w:rsidP="006E30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D15FE" w:rsidRPr="006E30C6" w:rsidSect="00EC5691">
      <w:headerReference w:type="default" r:id="rId10"/>
      <w:footerReference w:type="default" r:id="rId11"/>
      <w:pgSz w:w="11910" w:h="16840"/>
      <w:pgMar w:top="-277" w:right="1134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768" w:rsidRDefault="00535768">
      <w:pPr>
        <w:spacing w:after="0" w:line="240" w:lineRule="auto"/>
      </w:pPr>
      <w:r>
        <w:separator/>
      </w:r>
    </w:p>
  </w:endnote>
  <w:endnote w:type="continuationSeparator" w:id="0">
    <w:p w:rsidR="00535768" w:rsidRDefault="0053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568543"/>
      <w:docPartObj>
        <w:docPartGallery w:val="Page Numbers (Bottom of Page)"/>
        <w:docPartUnique/>
      </w:docPartObj>
    </w:sdtPr>
    <w:sdtEndPr/>
    <w:sdtContent>
      <w:p w:rsidR="006E30C6" w:rsidRDefault="006E30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D0E">
          <w:rPr>
            <w:noProof/>
          </w:rPr>
          <w:t>1</w:t>
        </w:r>
        <w:r>
          <w:fldChar w:fldCharType="end"/>
        </w:r>
      </w:p>
    </w:sdtContent>
  </w:sdt>
  <w:p w:rsidR="006E30C6" w:rsidRDefault="006E30C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768" w:rsidRDefault="00535768">
      <w:pPr>
        <w:spacing w:after="0" w:line="240" w:lineRule="auto"/>
      </w:pPr>
      <w:r>
        <w:separator/>
      </w:r>
    </w:p>
  </w:footnote>
  <w:footnote w:type="continuationSeparator" w:id="0">
    <w:p w:rsidR="00535768" w:rsidRDefault="00535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91" w:rsidRDefault="0020249E" w:rsidP="00EC5691">
    <w:pPr>
      <w:spacing w:after="0" w:line="240" w:lineRule="auto"/>
      <w:ind w:left="-181" w:right="-1440"/>
      <w:jc w:val="center"/>
      <w:rPr>
        <w:rFonts w:eastAsia="Calibri" w:cs="Times New Roman"/>
        <w:b/>
        <w:sz w:val="24"/>
        <w:szCs w:val="24"/>
      </w:rPr>
    </w:pPr>
    <w:r w:rsidRPr="00B34688">
      <w:rPr>
        <w:sz w:val="20"/>
        <w:szCs w:val="24"/>
      </w:rPr>
      <w:t xml:space="preserve">                        </w:t>
    </w:r>
    <w:r w:rsidR="00EC5691"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31D7BEBA" wp14:editId="3CBCBFB6">
          <wp:simplePos x="0" y="0"/>
          <wp:positionH relativeFrom="margin">
            <wp:posOffset>66675</wp:posOffset>
          </wp:positionH>
          <wp:positionV relativeFrom="margin">
            <wp:posOffset>-10795</wp:posOffset>
          </wp:positionV>
          <wp:extent cx="1020445" cy="892810"/>
          <wp:effectExtent l="0" t="0" r="0" b="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36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691"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3013704D" wp14:editId="74C802E0">
          <wp:simplePos x="0" y="0"/>
          <wp:positionH relativeFrom="margin">
            <wp:posOffset>2267585</wp:posOffset>
          </wp:positionH>
          <wp:positionV relativeFrom="margin">
            <wp:posOffset>42545</wp:posOffset>
          </wp:positionV>
          <wp:extent cx="1132840" cy="892810"/>
          <wp:effectExtent l="0" t="0" r="0" b="254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40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691">
      <w:rPr>
        <w:rFonts w:eastAsia="Calibri" w:cs="Times New Roman"/>
        <w:b/>
        <w:noProof/>
        <w:sz w:val="24"/>
        <w:szCs w:val="24"/>
        <w:lang w:eastAsia="bg-BG"/>
      </w:rPr>
      <w:drawing>
        <wp:anchor distT="0" distB="0" distL="114300" distR="114300" simplePos="0" relativeHeight="251661312" behindDoc="0" locked="0" layoutInCell="1" allowOverlap="1" wp14:anchorId="38234176" wp14:editId="3B932FE6">
          <wp:simplePos x="0" y="0"/>
          <wp:positionH relativeFrom="margin">
            <wp:posOffset>4670425</wp:posOffset>
          </wp:positionH>
          <wp:positionV relativeFrom="margin">
            <wp:posOffset>42545</wp:posOffset>
          </wp:positionV>
          <wp:extent cx="1477645" cy="892810"/>
          <wp:effectExtent l="0" t="0" r="8255" b="2540"/>
          <wp:wrapSquare wrapText="bothSides"/>
          <wp:docPr id="3" name="Картина 3" descr="C:\Users\Stela Kamenova\Desktop\new_logos-OPNOIR_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Stela Kamenova\Desktop\new_logos-OPNOIR_bg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EC5691" w:rsidRDefault="00EC5691" w:rsidP="00EC5691">
    <w:pPr>
      <w:tabs>
        <w:tab w:val="left" w:pos="2227"/>
        <w:tab w:val="right" w:pos="11078"/>
      </w:tabs>
      <w:spacing w:after="0" w:line="240" w:lineRule="auto"/>
      <w:ind w:left="-181" w:right="-1440"/>
      <w:rPr>
        <w:rFonts w:eastAsia="Calibri" w:cs="Times New Roman"/>
        <w:b/>
        <w:sz w:val="24"/>
        <w:szCs w:val="24"/>
      </w:rPr>
    </w:pP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</w:p>
  <w:p w:rsidR="00B629EF" w:rsidRPr="00B34688" w:rsidRDefault="00EC5691" w:rsidP="00EC5691">
    <w:pPr>
      <w:spacing w:line="14" w:lineRule="auto"/>
      <w:rPr>
        <w:sz w:val="20"/>
        <w:szCs w:val="24"/>
      </w:rPr>
    </w:pP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>
      <w:rPr>
        <w:rFonts w:eastAsia="Calibri" w:cs="Times New Roman"/>
        <w:b/>
        <w:sz w:val="24"/>
        <w:szCs w:val="24"/>
      </w:rPr>
      <w:tab/>
    </w:r>
    <w:r w:rsidR="0020249E" w:rsidRPr="00B34688">
      <w:rPr>
        <w:sz w:val="20"/>
        <w:szCs w:val="24"/>
      </w:rPr>
      <w:t xml:space="preserve">                    </w:t>
    </w:r>
    <w:r w:rsidR="0020249E">
      <w:rPr>
        <w:sz w:val="20"/>
        <w:szCs w:val="24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73772"/>
    <w:multiLevelType w:val="hybridMultilevel"/>
    <w:tmpl w:val="6F4644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B7C37"/>
    <w:multiLevelType w:val="hybridMultilevel"/>
    <w:tmpl w:val="6956917A"/>
    <w:lvl w:ilvl="0" w:tplc="9252FF5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74510D"/>
    <w:multiLevelType w:val="hybridMultilevel"/>
    <w:tmpl w:val="60B2073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D8F"/>
    <w:rsid w:val="00010BC4"/>
    <w:rsid w:val="000753C9"/>
    <w:rsid w:val="00190CDC"/>
    <w:rsid w:val="001D522D"/>
    <w:rsid w:val="0020249E"/>
    <w:rsid w:val="002A6233"/>
    <w:rsid w:val="003C3FF0"/>
    <w:rsid w:val="004676D3"/>
    <w:rsid w:val="004A2DFC"/>
    <w:rsid w:val="00535768"/>
    <w:rsid w:val="00541759"/>
    <w:rsid w:val="005712A2"/>
    <w:rsid w:val="005C5126"/>
    <w:rsid w:val="005C7AF5"/>
    <w:rsid w:val="006E30C6"/>
    <w:rsid w:val="00715E61"/>
    <w:rsid w:val="00833D8F"/>
    <w:rsid w:val="00900390"/>
    <w:rsid w:val="00942D0E"/>
    <w:rsid w:val="009A6DAD"/>
    <w:rsid w:val="009D15FE"/>
    <w:rsid w:val="009F015D"/>
    <w:rsid w:val="00D13716"/>
    <w:rsid w:val="00D82353"/>
    <w:rsid w:val="00E52276"/>
    <w:rsid w:val="00E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6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2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A2DF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C5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C5691"/>
  </w:style>
  <w:style w:type="paragraph" w:styleId="a8">
    <w:name w:val="footer"/>
    <w:basedOn w:val="a"/>
    <w:link w:val="a9"/>
    <w:uiPriority w:val="99"/>
    <w:unhideWhenUsed/>
    <w:rsid w:val="00EC5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C56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6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2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A2DF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C5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C5691"/>
  </w:style>
  <w:style w:type="paragraph" w:styleId="a8">
    <w:name w:val="footer"/>
    <w:basedOn w:val="a"/>
    <w:link w:val="a9"/>
    <w:uiPriority w:val="99"/>
    <w:unhideWhenUsed/>
    <w:rsid w:val="00EC5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C5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Kabraui</dc:creator>
  <cp:keywords/>
  <dc:description/>
  <cp:lastModifiedBy>Stela Kamenova</cp:lastModifiedBy>
  <cp:revision>12</cp:revision>
  <cp:lastPrinted>2020-11-09T13:51:00Z</cp:lastPrinted>
  <dcterms:created xsi:type="dcterms:W3CDTF">2020-11-02T09:20:00Z</dcterms:created>
  <dcterms:modified xsi:type="dcterms:W3CDTF">2020-11-10T09:36:00Z</dcterms:modified>
</cp:coreProperties>
</file>